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0CF75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952500" cy="886460"/>
            <wp:effectExtent l="0" t="0" r="0" b="889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EF071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47416">
      <w:pPr>
        <w:pStyle w:val="2"/>
        <w:spacing w:before="282" w:line="194" w:lineRule="auto"/>
        <w:ind w:left="545"/>
        <w:rPr>
          <w:sz w:val="27"/>
          <w:szCs w:val="27"/>
        </w:rPr>
      </w:pPr>
      <w:r>
        <w:rPr>
          <w:b/>
          <w:bCs/>
          <w:sz w:val="27"/>
          <w:szCs w:val="27"/>
        </w:rPr>
        <w:t>IDH</w:t>
      </w:r>
      <w:r>
        <w:rPr>
          <w:b/>
          <w:bCs/>
          <w:spacing w:val="6"/>
          <w:sz w:val="27"/>
          <w:szCs w:val="27"/>
        </w:rPr>
        <w:t>1 (R132P)</w:t>
      </w:r>
    </w:p>
    <w:p w14:paraId="53A78094">
      <w:pPr>
        <w:pStyle w:val="2"/>
        <w:spacing w:before="237" w:line="189" w:lineRule="auto"/>
        <w:ind w:left="548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26406</w:t>
      </w:r>
    </w:p>
    <w:p w14:paraId="5C98F818">
      <w:pPr>
        <w:pStyle w:val="2"/>
        <w:spacing w:before="122" w:line="189" w:lineRule="auto"/>
        <w:ind w:left="548"/>
      </w:pPr>
      <w:r>
        <w:rPr>
          <w:b/>
          <w:bCs/>
        </w:rPr>
        <w:t>Gene</w:t>
      </w:r>
      <w:r>
        <w:rPr>
          <w:b/>
          <w:bCs/>
          <w:spacing w:val="14"/>
          <w:w w:val="101"/>
        </w:rPr>
        <w:t xml:space="preserve"> </w:t>
      </w:r>
      <w:r>
        <w:rPr>
          <w:b/>
          <w:bCs/>
        </w:rPr>
        <w:t xml:space="preserve">Symbol: </w:t>
      </w:r>
      <w:r>
        <w:t>IDH2; D2HGA2; ICD-M; IDH; ID</w:t>
      </w:r>
      <w:r>
        <w:rPr>
          <w:spacing w:val="-1"/>
        </w:rPr>
        <w:t>HM; IDP; IDPM; mNADP-IDH</w:t>
      </w:r>
    </w:p>
    <w:p w14:paraId="71993557">
      <w:pPr>
        <w:pStyle w:val="2"/>
        <w:spacing w:before="117" w:line="193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Description: </w:t>
      </w:r>
      <w:r>
        <w:t>Anti-IDH1 (R132P) Mouse Mo</w:t>
      </w:r>
      <w:r>
        <w:rPr>
          <w:spacing w:val="-1"/>
        </w:rPr>
        <w:t>noclonal Antibody</w:t>
      </w:r>
    </w:p>
    <w:p w14:paraId="1010F0F9">
      <w:pPr>
        <w:spacing w:before="126"/>
      </w:pPr>
    </w:p>
    <w:p w14:paraId="068BD7EB">
      <w:pPr>
        <w:sectPr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3B7917B1">
      <w:pPr>
        <w:pStyle w:val="2"/>
        <w:spacing w:before="39" w:line="294" w:lineRule="auto"/>
        <w:ind w:left="546" w:right="555" w:hanging="2"/>
      </w:pPr>
      <w:r>
        <w:rPr>
          <w:b/>
          <w:bCs/>
        </w:rPr>
        <w:t xml:space="preserve">Background: </w:t>
      </w:r>
      <w:r>
        <w:rPr>
          <w:u w:val="single" w:color="auto"/>
        </w:rPr>
        <w:t>I</w:t>
      </w:r>
      <w:r>
        <w:t>socitr</w:t>
      </w:r>
      <w:r>
        <w:rPr>
          <w:spacing w:val="-1"/>
        </w:rPr>
        <w:t xml:space="preserve">ate </w:t>
      </w:r>
      <w:r>
        <w:rPr>
          <w:spacing w:val="-1"/>
          <w:u w:val="single" w:color="auto"/>
        </w:rPr>
        <w:t>deh</w:t>
      </w:r>
      <w:r>
        <w:rPr>
          <w:spacing w:val="-1"/>
        </w:rPr>
        <w:t>ydrogenases</w:t>
      </w:r>
      <w:r>
        <w:rPr>
          <w:spacing w:val="13"/>
          <w:w w:val="101"/>
        </w:rPr>
        <w:t xml:space="preserve"> </w:t>
      </w:r>
      <w:r>
        <w:rPr>
          <w:spacing w:val="-1"/>
        </w:rPr>
        <w:t>(IDH)</w:t>
      </w:r>
      <w:r>
        <w:t xml:space="preserve"> catalyze the oxidative decarboxylati</w:t>
      </w:r>
      <w:r>
        <w:rPr>
          <w:spacing w:val="-1"/>
        </w:rPr>
        <w:t>on</w:t>
      </w:r>
      <w:r>
        <w:rPr>
          <w:spacing w:val="12"/>
        </w:rPr>
        <w:t xml:space="preserve"> </w:t>
      </w:r>
      <w:r>
        <w:rPr>
          <w:spacing w:val="-1"/>
        </w:rPr>
        <w:t>of</w:t>
      </w:r>
    </w:p>
    <w:p w14:paraId="5BA9AC0F">
      <w:pPr>
        <w:pStyle w:val="2"/>
        <w:spacing w:before="34" w:line="299" w:lineRule="auto"/>
        <w:ind w:left="541" w:right="443" w:firstLine="4"/>
      </w:pPr>
      <w:r>
        <w:t>isocitrate to 2-oxoglutarate. M</w:t>
      </w:r>
      <w:r>
        <w:rPr>
          <w:spacing w:val="-1"/>
        </w:rPr>
        <w:t>utations affecting</w:t>
      </w:r>
      <w:r>
        <w:t xml:space="preserve">  Arg-132 are tissue-specific, and suggest</w:t>
      </w:r>
      <w:r>
        <w:rPr>
          <w:spacing w:val="-1"/>
        </w:rPr>
        <w:t xml:space="preserve"> that this</w:t>
      </w:r>
      <w:r>
        <w:t xml:space="preserve"> residue plays a unique role </w:t>
      </w:r>
      <w:r>
        <w:rPr>
          <w:spacing w:val="-1"/>
        </w:rPr>
        <w:t>in the</w:t>
      </w:r>
      <w:r>
        <w:rPr>
          <w:spacing w:val="10"/>
        </w:rPr>
        <w:t xml:space="preserve"> </w:t>
      </w:r>
      <w:r>
        <w:rPr>
          <w:spacing w:val="-1"/>
        </w:rPr>
        <w:t>development</w:t>
      </w:r>
    </w:p>
    <w:p w14:paraId="07B38A1B">
      <w:pPr>
        <w:pStyle w:val="2"/>
        <w:spacing w:before="33" w:line="296" w:lineRule="auto"/>
        <w:ind w:left="547" w:right="438"/>
      </w:pPr>
      <w:r>
        <w:t>of</w:t>
      </w:r>
      <w:r>
        <w:rPr>
          <w:spacing w:val="-17"/>
        </w:rPr>
        <w:t xml:space="preserve"> </w:t>
      </w:r>
      <w:r>
        <w:t>high</w:t>
      </w:r>
      <w:r>
        <w:rPr>
          <w:spacing w:val="2"/>
        </w:rPr>
        <w:t>-</w:t>
      </w:r>
      <w:r>
        <w:t>grade</w:t>
      </w:r>
      <w:r>
        <w:rPr>
          <w:spacing w:val="2"/>
        </w:rPr>
        <w:t xml:space="preserve"> </w:t>
      </w:r>
      <w:r>
        <w:t>gliomas</w:t>
      </w:r>
      <w:r>
        <w:rPr>
          <w:spacing w:val="2"/>
        </w:rPr>
        <w:t xml:space="preserve">. </w:t>
      </w:r>
      <w:r>
        <w:t>Mutations</w:t>
      </w:r>
      <w:r>
        <w:rPr>
          <w:spacing w:val="2"/>
        </w:rPr>
        <w:t xml:space="preserve"> </w:t>
      </w:r>
      <w:r>
        <w:t>of</w:t>
      </w:r>
      <w:r>
        <w:rPr>
          <w:spacing w:val="-27"/>
        </w:rPr>
        <w:t xml:space="preserve"> </w:t>
      </w:r>
      <w:r>
        <w:t>Arg</w:t>
      </w:r>
      <w:r>
        <w:rPr>
          <w:spacing w:val="2"/>
        </w:rPr>
        <w:t xml:space="preserve">-132 </w:t>
      </w:r>
      <w:r>
        <w:t xml:space="preserve">to  </w:t>
      </w:r>
      <w:r>
        <w:rPr>
          <w:spacing w:val="-1"/>
        </w:rPr>
        <w:t>Cys, His, Leu or</w:t>
      </w:r>
      <w:r>
        <w:rPr>
          <w:spacing w:val="32"/>
        </w:rPr>
        <w:t xml:space="preserve"> </w:t>
      </w:r>
      <w:r>
        <w:rPr>
          <w:spacing w:val="-1"/>
        </w:rPr>
        <w:t>Ser abolish magnesium binding</w:t>
      </w:r>
      <w:r>
        <w:t xml:space="preserve"> and abolish the conversion</w:t>
      </w:r>
      <w:r>
        <w:rPr>
          <w:spacing w:val="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isoc</w:t>
      </w:r>
      <w:r>
        <w:rPr>
          <w:spacing w:val="-1"/>
        </w:rPr>
        <w:t>itrate to</w:t>
      </w:r>
    </w:p>
    <w:p w14:paraId="7BE0E1CA">
      <w:pPr>
        <w:pStyle w:val="2"/>
        <w:spacing w:before="41" w:line="193" w:lineRule="auto"/>
        <w:ind w:left="547"/>
      </w:pPr>
      <w:r>
        <w:t>alpha-ketoglutarate. Instead, alpha-ketog</w:t>
      </w:r>
      <w:r>
        <w:rPr>
          <w:spacing w:val="-1"/>
        </w:rPr>
        <w:t>lutarate</w:t>
      </w:r>
    </w:p>
    <w:p w14:paraId="0CE8F4ED">
      <w:pPr>
        <w:pStyle w:val="2"/>
        <w:spacing w:before="118" w:line="294" w:lineRule="auto"/>
        <w:ind w:left="546" w:right="577"/>
      </w:pPr>
      <w:r>
        <w:t>is converted to R-2-hydroxyglutarate</w:t>
      </w:r>
      <w:r>
        <w:rPr>
          <w:spacing w:val="-1"/>
        </w:rPr>
        <w:t>. Elevated</w:t>
      </w:r>
      <w:r>
        <w:t xml:space="preserve"> levels</w:t>
      </w:r>
      <w:r>
        <w:rPr>
          <w:spacing w:val="1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R</w:t>
      </w:r>
      <w:r>
        <w:rPr>
          <w:spacing w:val="1"/>
        </w:rPr>
        <w:t>-2-</w:t>
      </w:r>
      <w:r>
        <w:t>hydroxyglutarate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correlated</w:t>
      </w:r>
    </w:p>
    <w:p w14:paraId="51E9CC93">
      <w:pPr>
        <w:pStyle w:val="2"/>
        <w:spacing w:before="32" w:line="193" w:lineRule="auto"/>
        <w:ind w:left="541"/>
      </w:pPr>
      <w:r>
        <w:t>with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elevated</w:t>
      </w:r>
      <w:r>
        <w:rPr>
          <w:spacing w:val="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malignant</w:t>
      </w:r>
      <w:r>
        <w:rPr>
          <w:spacing w:val="1"/>
        </w:rPr>
        <w:t xml:space="preserve"> </w:t>
      </w:r>
      <w:r>
        <w:t>brain</w:t>
      </w:r>
      <w:r>
        <w:rPr>
          <w:spacing w:val="3"/>
        </w:rPr>
        <w:t xml:space="preserve"> </w:t>
      </w:r>
      <w:r>
        <w:t>tumors</w:t>
      </w:r>
      <w:r>
        <w:rPr>
          <w:spacing w:val="1"/>
        </w:rPr>
        <w:t>.</w:t>
      </w:r>
    </w:p>
    <w:p w14:paraId="3E5CAC2C">
      <w:pPr>
        <w:pStyle w:val="2"/>
        <w:spacing w:before="120" w:line="299" w:lineRule="auto"/>
        <w:ind w:left="541" w:right="911" w:firstLine="2"/>
      </w:pPr>
      <w:r>
        <w:rPr>
          <w:b/>
          <w:bCs/>
          <w:spacing w:val="-1"/>
        </w:rPr>
        <w:t xml:space="preserve">Immunogen: </w:t>
      </w:r>
      <w:r>
        <w:rPr>
          <w:spacing w:val="-1"/>
        </w:rPr>
        <w:t>A synthetic peptide from the</w:t>
      </w:r>
      <w:r>
        <w:rPr>
          <w:spacing w:val="6"/>
        </w:rPr>
        <w:t xml:space="preserve"> </w:t>
      </w:r>
      <w:r>
        <w:t>internal region of</w:t>
      </w:r>
      <w:r>
        <w:rPr>
          <w:spacing w:val="-7"/>
        </w:rPr>
        <w:t xml:space="preserve"> </w:t>
      </w:r>
      <w:r>
        <w:t xml:space="preserve">IDH1 which includes the </w:t>
      </w:r>
      <w:r>
        <w:rPr>
          <w:spacing w:val="-1"/>
        </w:rPr>
        <w:t>mutation of</w:t>
      </w:r>
      <w:r>
        <w:rPr>
          <w:spacing w:val="2"/>
        </w:rPr>
        <w:t xml:space="preserve"> </w:t>
      </w:r>
      <w:r>
        <w:rPr>
          <w:spacing w:val="-1"/>
        </w:rPr>
        <w:t>R132P, human origin.</w:t>
      </w:r>
    </w:p>
    <w:p w14:paraId="78394AAA">
      <w:pPr>
        <w:pStyle w:val="2"/>
        <w:spacing w:before="35" w:line="291" w:lineRule="auto"/>
        <w:ind w:left="544" w:right="1186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6ECD9BF7">
      <w:pPr>
        <w:pStyle w:val="2"/>
        <w:spacing w:before="39" w:line="189" w:lineRule="auto"/>
        <w:ind w:left="544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1D38ED39">
      <w:pPr>
        <w:pStyle w:val="2"/>
        <w:spacing w:before="122" w:line="189" w:lineRule="auto"/>
        <w:ind w:left="542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1:100-1:1000</w:t>
      </w:r>
    </w:p>
    <w:p w14:paraId="143436A6">
      <w:pPr>
        <w:pStyle w:val="2"/>
        <w:spacing w:before="121" w:line="189" w:lineRule="auto"/>
        <w:ind w:left="545"/>
      </w:pPr>
      <w:r>
        <w:rPr>
          <w:spacing w:val="-2"/>
        </w:rPr>
        <w:t>IHC:</w:t>
      </w:r>
      <w:r>
        <w:rPr>
          <w:spacing w:val="2"/>
        </w:rPr>
        <w:t xml:space="preserve">          </w:t>
      </w:r>
      <w:r>
        <w:rPr>
          <w:spacing w:val="-2"/>
        </w:rPr>
        <w:t>1:50-1:100</w:t>
      </w:r>
    </w:p>
    <w:p w14:paraId="375228CC">
      <w:pPr>
        <w:pStyle w:val="2"/>
        <w:spacing w:before="119" w:line="193" w:lineRule="auto"/>
        <w:ind w:left="548"/>
      </w:pPr>
      <w:r>
        <w:rPr>
          <w:b/>
          <w:bCs/>
          <w:spacing w:val="-2"/>
        </w:rPr>
        <w:t>Concentration:</w:t>
      </w:r>
      <w:r>
        <w:rPr>
          <w:b/>
          <w:bCs/>
          <w:spacing w:val="27"/>
          <w:w w:val="101"/>
        </w:rPr>
        <w:t xml:space="preserve"> </w:t>
      </w:r>
      <w:r>
        <w:rPr>
          <w:spacing w:val="-2"/>
        </w:rPr>
        <w:t>1 mg/ml</w:t>
      </w:r>
    </w:p>
    <w:p w14:paraId="2E0C731C">
      <w:pPr>
        <w:pStyle w:val="2"/>
        <w:spacing w:before="124" w:line="186" w:lineRule="auto"/>
        <w:ind w:left="544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55EE2B9B">
      <w:pPr>
        <w:pStyle w:val="2"/>
        <w:spacing w:before="118" w:line="193" w:lineRule="auto"/>
        <w:ind w:left="548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3E039383">
      <w:pPr>
        <w:pStyle w:val="2"/>
        <w:spacing w:before="118" w:line="193" w:lineRule="auto"/>
        <w:ind w:left="545"/>
      </w:pPr>
      <w:r>
        <w:rPr>
          <w:b/>
          <w:bCs/>
        </w:rPr>
        <w:t xml:space="preserve">Purity: </w:t>
      </w:r>
      <w:r>
        <w:t>Purified fr</w:t>
      </w:r>
      <w:r>
        <w:rPr>
          <w:spacing w:val="-1"/>
        </w:rPr>
        <w:t>om ascites</w:t>
      </w:r>
    </w:p>
    <w:p w14:paraId="644FD9D5">
      <w:pPr>
        <w:pStyle w:val="2"/>
        <w:spacing w:before="118" w:line="296" w:lineRule="auto"/>
        <w:ind w:left="550" w:right="3152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Storage buffer:</w:t>
      </w:r>
    </w:p>
    <w:p w14:paraId="0DDE4557">
      <w:pPr>
        <w:pStyle w:val="2"/>
        <w:spacing w:before="28" w:line="193" w:lineRule="auto"/>
        <w:ind w:left="543"/>
      </w:pPr>
      <w:r>
        <w:rPr>
          <w:spacing w:val="-1"/>
        </w:rPr>
        <w:t>Preservative: no</w:t>
      </w:r>
    </w:p>
    <w:p w14:paraId="4E8E23DC">
      <w:pPr>
        <w:pStyle w:val="2"/>
        <w:spacing w:before="108" w:line="298" w:lineRule="auto"/>
        <w:ind w:left="547" w:right="521"/>
      </w:pPr>
      <w:r>
        <w:t>Constituents: PBS (withou</w:t>
      </w:r>
      <w:r>
        <w:rPr>
          <w:spacing w:val="-1"/>
        </w:rPr>
        <w:t>t Mg</w:t>
      </w:r>
      <w:r>
        <w:rPr>
          <w:spacing w:val="-1"/>
          <w:position w:val="6"/>
          <w:sz w:val="13"/>
          <w:szCs w:val="13"/>
        </w:rPr>
        <w:t xml:space="preserve">2+ 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Ca</w:t>
      </w:r>
      <w:r>
        <w:rPr>
          <w:spacing w:val="-1"/>
          <w:position w:val="6"/>
          <w:sz w:val="13"/>
          <w:szCs w:val="13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0"/>
          <w:w w:val="101"/>
        </w:rPr>
        <w:t xml:space="preserve"> </w:t>
      </w:r>
      <w:r>
        <w:rPr>
          <w:spacing w:val="-1"/>
        </w:rPr>
        <w:t>150 mM NaCl, 50% glyce</w:t>
      </w:r>
      <w:r>
        <w:rPr>
          <w:spacing w:val="-2"/>
        </w:rPr>
        <w:t>rol</w:t>
      </w:r>
    </w:p>
    <w:p w14:paraId="7B3E929C">
      <w:pPr>
        <w:pStyle w:val="2"/>
        <w:spacing w:before="35" w:line="294" w:lineRule="auto"/>
        <w:ind w:left="539" w:right="587" w:firstLine="11"/>
      </w:pPr>
      <w:r>
        <w:rPr>
          <w:b/>
          <w:bCs/>
        </w:rPr>
        <w:t xml:space="preserve">Species Reactivity: </w:t>
      </w:r>
      <w:r>
        <w:t>recogniz</w:t>
      </w:r>
      <w:r>
        <w:rPr>
          <w:spacing w:val="-1"/>
        </w:rPr>
        <w:t>es R132P</w:t>
      </w:r>
      <w:r>
        <w:rPr>
          <w:spacing w:val="-10"/>
        </w:rPr>
        <w:t xml:space="preserve"> </w:t>
      </w:r>
      <w:r>
        <w:rPr>
          <w:spacing w:val="-1"/>
        </w:rPr>
        <w:t>mutant,</w:t>
      </w:r>
      <w:r>
        <w:t xml:space="preserve"> but</w:t>
      </w:r>
      <w:r>
        <w:rPr>
          <w:spacing w:val="2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wild</w:t>
      </w:r>
      <w:r>
        <w:rPr>
          <w:spacing w:val="2"/>
        </w:rPr>
        <w:t>-</w:t>
      </w:r>
      <w:r>
        <w:t>type</w:t>
      </w:r>
      <w:r>
        <w:rPr>
          <w:spacing w:val="2"/>
        </w:rPr>
        <w:t xml:space="preserve"> </w:t>
      </w:r>
      <w:r>
        <w:t>IDH</w:t>
      </w:r>
      <w:r>
        <w:rPr>
          <w:spacing w:val="2"/>
        </w:rPr>
        <w:t xml:space="preserve">2 </w:t>
      </w:r>
      <w:r>
        <w:t>of</w:t>
      </w:r>
      <w:r>
        <w:rPr>
          <w:spacing w:val="-16"/>
        </w:rPr>
        <w:t xml:space="preserve"> </w:t>
      </w:r>
      <w:r>
        <w:t>vertebrates</w:t>
      </w:r>
      <w:r>
        <w:rPr>
          <w:spacing w:val="2"/>
        </w:rPr>
        <w:t>.</w:t>
      </w:r>
    </w:p>
    <w:p w14:paraId="3AEDBDF7">
      <w:pPr>
        <w:pStyle w:val="2"/>
        <w:spacing w:before="32" w:line="294" w:lineRule="auto"/>
        <w:ind w:left="548" w:right="870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Store at -20°C.</w:t>
      </w:r>
      <w:r>
        <w:rPr>
          <w:spacing w:val="-13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5DD47204">
      <w:pPr>
        <w:spacing w:line="33" w:lineRule="exact"/>
      </w:pPr>
    </w:p>
    <w:p w14:paraId="7362C1EF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D6052FB">
      <w:pPr>
        <w:pStyle w:val="2"/>
        <w:spacing w:before="68" w:line="186" w:lineRule="auto"/>
      </w:pPr>
      <w:r>
        <w:rPr>
          <w:b/>
          <w:bCs/>
          <w:spacing w:val="-2"/>
        </w:rPr>
        <w:t>Western blot:</w:t>
      </w:r>
    </w:p>
    <w:p w14:paraId="07320B11">
      <w:pPr>
        <w:spacing w:line="243" w:lineRule="auto"/>
        <w:rPr>
          <w:rFonts w:ascii="Arial"/>
          <w:sz w:val="21"/>
        </w:rPr>
      </w:pPr>
    </w:p>
    <w:p w14:paraId="338C9A90">
      <w:pPr>
        <w:spacing w:line="3311" w:lineRule="exact"/>
        <w:ind w:firstLine="98"/>
      </w:pPr>
      <w:r>
        <w:rPr>
          <w:position w:val="-66"/>
        </w:rPr>
        <w:drawing>
          <wp:inline distT="0" distB="0" distL="0" distR="0">
            <wp:extent cx="1518285" cy="210185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18458" cy="210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03A64">
      <w:pPr>
        <w:spacing w:line="245" w:lineRule="auto"/>
        <w:rPr>
          <w:rFonts w:ascii="Arial"/>
          <w:sz w:val="21"/>
        </w:rPr>
      </w:pPr>
    </w:p>
    <w:p w14:paraId="5756CD19">
      <w:pPr>
        <w:pStyle w:val="2"/>
        <w:spacing w:before="61" w:line="294" w:lineRule="auto"/>
        <w:ind w:left="6" w:right="1234" w:hanging="5"/>
      </w:pPr>
      <w:r>
        <w:t>Western blot analysis of</w:t>
      </w:r>
      <w:r>
        <w:rPr>
          <w:spacing w:val="-19"/>
        </w:rPr>
        <w:t xml:space="preserve"> </w:t>
      </w:r>
      <w:r>
        <w:t>recombinant IDH1 (R132P) and wildtype prot</w:t>
      </w:r>
      <w:r>
        <w:rPr>
          <w:spacing w:val="-1"/>
        </w:rPr>
        <w:t>eins. Purified</w:t>
      </w:r>
    </w:p>
    <w:p w14:paraId="4F6F3567">
      <w:pPr>
        <w:pStyle w:val="2"/>
        <w:spacing w:before="32" w:line="193" w:lineRule="auto"/>
        <w:ind w:left="2"/>
      </w:pPr>
      <w:r>
        <w:rPr>
          <w:spacing w:val="-1"/>
        </w:rPr>
        <w:t>His-tagged IDH1 (R132P) (lane</w:t>
      </w:r>
      <w:r>
        <w:rPr>
          <w:spacing w:val="31"/>
          <w:w w:val="101"/>
        </w:rPr>
        <w:t xml:space="preserve"> </w:t>
      </w:r>
      <w:r>
        <w:rPr>
          <w:spacing w:val="-1"/>
        </w:rPr>
        <w:t>1) and</w:t>
      </w:r>
    </w:p>
    <w:p w14:paraId="0FA9CD5C">
      <w:pPr>
        <w:pStyle w:val="2"/>
        <w:spacing w:before="117" w:line="193" w:lineRule="auto"/>
        <w:ind w:left="5"/>
      </w:pPr>
      <w:r>
        <w:t>corresponding wild-t</w:t>
      </w:r>
      <w:r>
        <w:rPr>
          <w:spacing w:val="-1"/>
        </w:rPr>
        <w:t>ype</w:t>
      </w:r>
      <w:r>
        <w:rPr>
          <w:spacing w:val="13"/>
          <w:w w:val="101"/>
        </w:rPr>
        <w:t xml:space="preserve"> </w:t>
      </w:r>
      <w:r>
        <w:rPr>
          <w:spacing w:val="-1"/>
        </w:rPr>
        <w:t>IDH1 protein (lane 2)</w:t>
      </w:r>
    </w:p>
    <w:p w14:paraId="673E4CC5">
      <w:pPr>
        <w:pStyle w:val="2"/>
        <w:spacing w:before="119" w:line="294" w:lineRule="auto"/>
        <w:ind w:left="6" w:right="696" w:hanging="6"/>
      </w:pPr>
      <w:r>
        <w:t>were blotted with anti-IDH1 (R132P) monoc</w:t>
      </w:r>
      <w:r>
        <w:rPr>
          <w:spacing w:val="-1"/>
        </w:rPr>
        <w:t>lonal</w:t>
      </w:r>
      <w:r>
        <w:t xml:space="preserve"> antibody (Cat. #26406).</w:t>
      </w:r>
    </w:p>
    <w:p w14:paraId="71DA4C03">
      <w:pPr>
        <w:spacing w:line="294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64" w:space="100"/>
            <w:col w:w="4887"/>
          </w:cols>
        </w:sectPr>
      </w:pPr>
    </w:p>
    <w:p w14:paraId="38B68131">
      <w:pPr>
        <w:spacing w:before="7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E213B">
      <w:pPr>
        <w:spacing w:before="193" w:line="207" w:lineRule="auto"/>
        <w:ind w:left="2074"/>
        <w:rPr>
          <w:rFonts w:ascii="Arial" w:hAnsi="Arial" w:eastAsia="Arial" w:cs="Arial"/>
          <w:sz w:val="17"/>
          <w:szCs w:val="17"/>
        </w:rPr>
      </w:pPr>
      <w:r>
        <w:rPr>
          <w:rFonts w:ascii="Arial" w:hAnsi="Arial" w:eastAsia="Arial" w:cs="Arial"/>
          <w:b/>
          <w:bCs/>
          <w:spacing w:val="4"/>
          <w:sz w:val="17"/>
          <w:szCs w:val="17"/>
        </w:rPr>
        <w:t>For research</w:t>
      </w:r>
      <w:r>
        <w:rPr>
          <w:rFonts w:ascii="Arial" w:hAnsi="Arial" w:eastAsia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use only. Not for diagnostic</w:t>
      </w:r>
      <w:r>
        <w:rPr>
          <w:rFonts w:ascii="Arial" w:hAnsi="Arial" w:eastAsia="Arial" w:cs="Arial"/>
          <w:b/>
          <w:bCs/>
          <w:spacing w:val="14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or therap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eutic</w:t>
      </w:r>
      <w:r>
        <w:rPr>
          <w:rFonts w:ascii="Arial" w:hAnsi="Arial" w:eastAsia="Arial" w:cs="Arial"/>
          <w:b/>
          <w:bCs/>
          <w:spacing w:val="14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applications.</w:t>
      </w:r>
    </w:p>
    <w:p w14:paraId="044E19E7">
      <w:pPr>
        <w:spacing w:line="149" w:lineRule="exact"/>
      </w:pPr>
    </w:p>
    <w:p w14:paraId="6FFADBF8">
      <w:pPr>
        <w:spacing w:line="149" w:lineRule="exact"/>
        <w:sectPr>
          <w:type w:val="continuous"/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2D364D38">
      <w:pPr>
        <w:spacing w:line="252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07" w:space="100"/>
            <w:col w:w="4944"/>
          </w:cols>
        </w:sectPr>
      </w:pPr>
    </w:p>
    <w:p w14:paraId="699672CB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D427C">
      <w:pPr>
        <w:pStyle w:val="2"/>
        <w:spacing w:before="170" w:line="189" w:lineRule="auto"/>
        <w:ind w:left="544"/>
      </w:pPr>
      <w:r>
        <w:rPr>
          <w:b/>
          <w:bCs/>
          <w:spacing w:val="-1"/>
        </w:rPr>
        <w:t>Immunofluorescence:</w:t>
      </w:r>
    </w:p>
    <w:p w14:paraId="56641E61">
      <w:pPr>
        <w:spacing w:before="157" w:line="4500" w:lineRule="exact"/>
        <w:ind w:firstLine="839"/>
      </w:pPr>
      <w:r>
        <w:rPr>
          <w:position w:val="-90"/>
        </w:rPr>
        <w:drawing>
          <wp:inline distT="0" distB="0" distL="0" distR="0">
            <wp:extent cx="5103495" cy="285750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04010" cy="285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1FDCB">
      <w:pPr>
        <w:spacing w:before="195" w:line="4802" w:lineRule="exact"/>
        <w:ind w:firstLine="1526"/>
      </w:pPr>
      <w:r>
        <w:rPr>
          <w:position w:val="-96"/>
        </w:rPr>
        <w:drawing>
          <wp:inline distT="0" distB="0" distL="0" distR="0">
            <wp:extent cx="4181475" cy="304863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81612" cy="3049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B6AC5">
      <w:pPr>
        <w:pStyle w:val="2"/>
        <w:spacing w:before="138" w:line="290" w:lineRule="auto"/>
        <w:ind w:left="543" w:right="1537"/>
      </w:pPr>
      <w:r>
        <w:rPr>
          <w:b/>
          <w:bCs/>
        </w:rPr>
        <w:t>Immunofluorescence of cells expressing IDH1 proteins with ant</w:t>
      </w:r>
      <w:r>
        <w:rPr>
          <w:b/>
          <w:bCs/>
          <w:spacing w:val="-1"/>
        </w:rPr>
        <w:t>i-IDH1 (R132P) antibody.</w:t>
      </w:r>
      <w:r>
        <w:rPr>
          <w:b/>
          <w:bCs/>
        </w:rPr>
        <w:t xml:space="preserve"> </w:t>
      </w:r>
      <w:r>
        <w:t>HEK293T cells were tra</w:t>
      </w:r>
      <w:r>
        <w:rPr>
          <w:spacing w:val="-1"/>
        </w:rPr>
        <w:t>nsfected with</w:t>
      </w:r>
    </w:p>
    <w:p w14:paraId="1E85A391">
      <w:pPr>
        <w:pStyle w:val="2"/>
        <w:spacing w:before="38" w:line="193" w:lineRule="auto"/>
        <w:ind w:left="539"/>
      </w:pPr>
      <w:r>
        <w:t>pCDNA3-GFP-IDH1(R132P) plasmid, pCDNA3-GFP-IDH1 (WT) plasmid ,</w:t>
      </w:r>
    </w:p>
    <w:p w14:paraId="3F74B23B">
      <w:pPr>
        <w:pStyle w:val="2"/>
        <w:spacing w:before="118" w:line="193" w:lineRule="auto"/>
        <w:ind w:left="539"/>
      </w:pPr>
      <w:r>
        <w:t>pCDNA3-GFP-IDH1(R132S) plasmid, pCDNA3-GFP-IDH1(R132L) plasmid ,</w:t>
      </w:r>
    </w:p>
    <w:p w14:paraId="4BA6C4AF">
      <w:pPr>
        <w:pStyle w:val="2"/>
        <w:spacing w:before="119" w:line="294" w:lineRule="auto"/>
        <w:ind w:left="541" w:right="2454" w:hanging="2"/>
        <w:rPr>
          <w:spacing w:val="-1"/>
        </w:rPr>
      </w:pPr>
      <w:r>
        <w:t>pCDNA3-GFP-IDH1(R132G) plasmid or pCDNA3-GFP-IDH1(R132C) plasmi</w:t>
      </w:r>
      <w:r>
        <w:rPr>
          <w:spacing w:val="-1"/>
        </w:rPr>
        <w:t>d ,</w:t>
      </w:r>
      <w:r>
        <w:t xml:space="preserve">    then fixed and stained with anti-IDH1 (R132P)</w:t>
      </w:r>
      <w:r>
        <w:rPr>
          <w:spacing w:val="4"/>
        </w:rPr>
        <w:t xml:space="preserve"> </w:t>
      </w:r>
      <w:r>
        <w:t>monoclo</w:t>
      </w:r>
      <w:r>
        <w:rPr>
          <w:spacing w:val="-1"/>
        </w:rPr>
        <w:t>nal</w:t>
      </w:r>
      <w:r>
        <w:rPr>
          <w:spacing w:val="7"/>
        </w:rPr>
        <w:t xml:space="preserve"> </w:t>
      </w:r>
      <w:r>
        <w:rPr>
          <w:spacing w:val="-1"/>
        </w:rPr>
        <w:t>antibody</w:t>
      </w:r>
      <w:r>
        <w:rPr>
          <w:spacing w:val="9"/>
        </w:rPr>
        <w:t xml:space="preserve"> </w:t>
      </w:r>
      <w:r>
        <w:rPr>
          <w:spacing w:val="-1"/>
        </w:rPr>
        <w:t>(Cat. #26406).</w:t>
      </w:r>
    </w:p>
    <w:p w14:paraId="05DC5540">
      <w:pPr>
        <w:pStyle w:val="2"/>
        <w:spacing w:before="119" w:line="294" w:lineRule="auto"/>
        <w:ind w:left="541" w:right="2454" w:hanging="2"/>
        <w:rPr>
          <w:spacing w:val="-1"/>
        </w:rPr>
      </w:pPr>
      <w:bookmarkStart w:id="0" w:name="_GoBack"/>
      <w:bookmarkEnd w:id="0"/>
    </w:p>
    <w:p w14:paraId="333EAB1F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7E53E69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0E19E928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76B17A7D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2EB46D39">
      <w:pPr>
        <w:pStyle w:val="2"/>
        <w:spacing w:before="119" w:line="294" w:lineRule="auto"/>
        <w:ind w:left="541" w:right="2454" w:hanging="2"/>
        <w:rPr>
          <w:spacing w:val="-1"/>
        </w:rPr>
      </w:pPr>
    </w:p>
    <w:sectPr>
      <w:footerReference r:id="rId5" w:type="default"/>
      <w:pgSz w:w="11906" w:h="16839"/>
      <w:pgMar w:top="849" w:right="595" w:bottom="2059" w:left="1260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699828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C0F0F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279</Words>
  <Characters>1901</Characters>
  <TotalTime>2</TotalTime>
  <ScaleCrop>false</ScaleCrop>
  <LinksUpToDate>false</LinksUpToDate>
  <CharactersWithSpaces>2171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2016-07-26T09:15:00Z</dcterms:created>
  <dc:creator>Limin Wang;yanhua</dc:creator>
  <cp:lastModifiedBy>周亿福</cp:lastModifiedBy>
  <dcterms:modified xsi:type="dcterms:W3CDTF">2025-08-14T08:29:15Z</dcterms:modified>
  <dc:title>Orai1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2025-08-14T11:00:55Z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F32A0BB462A045AF89A95051ADD149C4_12</vt:lpwstr>
  </property>
</Properties>
</file>